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C01CD">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bookmarkStart w:id="2" w:name="_GoBack"/>
      <w:bookmarkEnd w:id="2"/>
      <w:r>
        <w:rPr>
          <w:rFonts w:hint="eastAsia" w:ascii="宋体" w:hAnsi="宋体" w:eastAsia="宋体" w:cs="宋体"/>
          <w:b/>
          <w:bCs/>
          <w:i w:val="0"/>
          <w:iCs w:val="0"/>
          <w:caps w:val="0"/>
          <w:color w:val="333333"/>
          <w:spacing w:val="0"/>
          <w:kern w:val="0"/>
          <w:sz w:val="44"/>
          <w:szCs w:val="44"/>
          <w:shd w:val="clear" w:fill="FFFFFF"/>
          <w:lang w:val="en-US" w:eastAsia="zh-CN" w:bidi="ar"/>
        </w:rPr>
        <w:t>蚌埠液力机械有限公司扩建及智能制造基地建设项目二期厂房监理招标公告</w:t>
      </w:r>
    </w:p>
    <w:p w14:paraId="0A468B15">
      <w:pPr>
        <w:keepNext w:val="0"/>
        <w:keepLines w:val="0"/>
        <w:pageBreakBefore w:val="0"/>
        <w:kinsoku/>
        <w:wordWrap/>
        <w:overflowPunct/>
        <w:topLinePunct w:val="0"/>
        <w:autoSpaceDE/>
        <w:autoSpaceDN/>
        <w:bidi w:val="0"/>
        <w:spacing w:line="560" w:lineRule="exact"/>
        <w:ind w:firstLine="883" w:firstLineChars="200"/>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p>
    <w:p w14:paraId="274FDC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1.招标条件</w:t>
      </w:r>
    </w:p>
    <w:p w14:paraId="23604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1.1项目名称：蚌埠液力机械有限公司扩建及智能制造基地建设项目</w:t>
      </w:r>
    </w:p>
    <w:p w14:paraId="02F96E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1.2项目审批、核准或备案机关名称：蚌埠市龙子湖区发展和改革委员会</w:t>
      </w:r>
    </w:p>
    <w:p w14:paraId="3567FE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1.3批文名称及编号：龙子湖区发改委项目备案表，2110-340302-04-01-163069</w:t>
      </w:r>
    </w:p>
    <w:p w14:paraId="36B226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1.4招标人：蚌埠液力机械有限公司</w:t>
      </w:r>
      <w:r>
        <w:rPr>
          <w:rFonts w:hint="eastAsia" w:ascii="仿宋" w:hAnsi="仿宋" w:eastAsia="仿宋" w:cs="仿宋"/>
          <w:i w:val="0"/>
          <w:iCs w:val="0"/>
          <w:caps w:val="0"/>
          <w:color w:val="000000"/>
          <w:spacing w:val="0"/>
          <w:kern w:val="0"/>
          <w:sz w:val="28"/>
          <w:szCs w:val="28"/>
          <w:lang w:val="en-US" w:eastAsia="zh-CN" w:bidi="ar"/>
        </w:rPr>
        <w:tab/>
      </w:r>
    </w:p>
    <w:p w14:paraId="21FE35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1.5项目业主：蚌埠液力机械有限公司</w:t>
      </w:r>
    </w:p>
    <w:p w14:paraId="1C7A9D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1.6资金来源：自筹</w:t>
      </w:r>
    </w:p>
    <w:p w14:paraId="126021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1.7项目出资比例：100%</w:t>
      </w:r>
    </w:p>
    <w:p w14:paraId="670C19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2.项目概况与招标范围</w:t>
      </w:r>
    </w:p>
    <w:p w14:paraId="5E764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2.1招标项目名称：蚌埠液力机械有限公司扩建及智能制造基地建设项目二期厂房监理</w:t>
      </w:r>
    </w:p>
    <w:p w14:paraId="50D7D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2.2招标项目编号：GN2025-07-6999</w:t>
      </w:r>
    </w:p>
    <w:p w14:paraId="1FE61F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2.3标段划分：一个标段</w:t>
      </w:r>
    </w:p>
    <w:p w14:paraId="2B588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2.4招标项目标段编号：GN2025-07-6999</w:t>
      </w:r>
    </w:p>
    <w:p w14:paraId="4209B6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2.5建设地点：蚌液新基地位于蚌埠市胜利东路5号。二期厂房位于地块东北部，规划占地约66亩。</w:t>
      </w:r>
    </w:p>
    <w:p w14:paraId="5C84DA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2.6建设规模：蚌埠液力机械有限公司扩建及智能制造基地建设项目二期建设内容主要为特种缸及变矩器车间、危化品库、相关附属工程等，建筑面积约46270平方米，建安工程投资估算约10000 万元，计划建设周期约12个月。</w:t>
      </w:r>
    </w:p>
    <w:p w14:paraId="7D1CE1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2.7工程概算投资额：工程投资约10000万元，本次监理费约80万元。</w:t>
      </w:r>
    </w:p>
    <w:p w14:paraId="583A77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2.8工程项目施工预计开工日期和建设周期：建设周期约12个月。</w:t>
      </w:r>
    </w:p>
    <w:p w14:paraId="7C34A1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2.9监理服务期限：自监理合同签订之日起至本项目全部工程竣工验收备案移交且缺陷责任期满为止，本招标文件所述计划施工工期仅供投标人参考，最终以实际发生为准。</w:t>
      </w:r>
    </w:p>
    <w:p w14:paraId="0D6B6C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2.10招标范围：本次招标范围为二期厂房项目的监理（不含工艺设备招采和实施管理），完成施工、设备的采购和安装及相关配套工程等监理工作，包括项目施工准备期、施工期、工程质量保修期阶段的质量控制、投资控制、进度控制、组织协调、合同管理、信息管理、安全文明，同时包括该工程的设备、设施、货物等采购合同实施监理以及施工图纸范围内全部监理工作，保修期内监理责任延续。</w:t>
      </w:r>
    </w:p>
    <w:p w14:paraId="27391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2.11项目类别：工程服务</w:t>
      </w:r>
    </w:p>
    <w:p w14:paraId="15F7B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2.12其他：/。</w:t>
      </w:r>
    </w:p>
    <w:p w14:paraId="3021B1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3. 投标人资格要求</w:t>
      </w:r>
    </w:p>
    <w:p w14:paraId="4C616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3.1 投标人具有独立法人资格具备独立承担民事责任的能力，具有有效的营业执照。</w:t>
      </w:r>
    </w:p>
    <w:p w14:paraId="64E485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3.2 投标人资质要求：投标人须具备下列资质之一</w:t>
      </w:r>
    </w:p>
    <w:p w14:paraId="1A676A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（1）工程监理综合资质；</w:t>
      </w:r>
    </w:p>
    <w:p w14:paraId="571CB6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（2）房屋建筑工程监理甲级资质。</w:t>
      </w:r>
    </w:p>
    <w:p w14:paraId="620D16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3.3 投标人业绩要求：自2018年1月1日以来（以合同签订时间为准），投标人须具备一个投资额7000万元及以上或总建筑面积3.2万平方米及以上的公共建筑或工业建筑服务业绩（须包含工程监理服务，且投标人承担工程监理服务工作）。</w:t>
      </w:r>
    </w:p>
    <w:p w14:paraId="4F8AA3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3.4 总监理工程师资格要求：</w:t>
      </w:r>
      <w:bookmarkStart w:id="0" w:name="_Hlk104450615"/>
      <w:r>
        <w:rPr>
          <w:rFonts w:hint="eastAsia" w:ascii="仿宋" w:hAnsi="仿宋" w:eastAsia="仿宋" w:cs="仿宋"/>
          <w:i w:val="0"/>
          <w:iCs w:val="0"/>
          <w:caps w:val="0"/>
          <w:color w:val="000000"/>
          <w:spacing w:val="0"/>
          <w:kern w:val="0"/>
          <w:sz w:val="28"/>
          <w:szCs w:val="28"/>
          <w:lang w:val="en-US" w:eastAsia="zh-CN" w:bidi="ar"/>
        </w:rPr>
        <w:t>投标人拟委任总监理工程师</w:t>
      </w:r>
      <w:bookmarkEnd w:id="0"/>
      <w:r>
        <w:rPr>
          <w:rFonts w:hint="eastAsia" w:ascii="仿宋" w:hAnsi="仿宋" w:eastAsia="仿宋" w:cs="仿宋"/>
          <w:i w:val="0"/>
          <w:iCs w:val="0"/>
          <w:caps w:val="0"/>
          <w:color w:val="000000"/>
          <w:spacing w:val="0"/>
          <w:kern w:val="0"/>
          <w:sz w:val="28"/>
          <w:szCs w:val="28"/>
          <w:lang w:val="en-US" w:eastAsia="zh-CN" w:bidi="ar"/>
        </w:rPr>
        <w:t>须具备房屋建筑工程专业国家注册监理工程师执业资格（</w:t>
      </w:r>
      <w:bookmarkStart w:id="1" w:name="_Hlk127810281"/>
      <w:r>
        <w:rPr>
          <w:rFonts w:hint="eastAsia" w:ascii="仿宋" w:hAnsi="仿宋" w:eastAsia="仿宋" w:cs="仿宋"/>
          <w:i w:val="0"/>
          <w:iCs w:val="0"/>
          <w:caps w:val="0"/>
          <w:color w:val="000000"/>
          <w:spacing w:val="0"/>
          <w:kern w:val="0"/>
          <w:sz w:val="28"/>
          <w:szCs w:val="28"/>
          <w:lang w:val="en-US" w:eastAsia="zh-CN" w:bidi="ar"/>
        </w:rPr>
        <w:t>须注册在投标人单位</w:t>
      </w:r>
      <w:bookmarkEnd w:id="1"/>
      <w:r>
        <w:rPr>
          <w:rFonts w:hint="eastAsia" w:ascii="仿宋" w:hAnsi="仿宋" w:eastAsia="仿宋" w:cs="仿宋"/>
          <w:i w:val="0"/>
          <w:iCs w:val="0"/>
          <w:caps w:val="0"/>
          <w:color w:val="000000"/>
          <w:spacing w:val="0"/>
          <w:kern w:val="0"/>
          <w:sz w:val="28"/>
          <w:szCs w:val="28"/>
          <w:lang w:val="en-US" w:eastAsia="zh-CN" w:bidi="ar"/>
        </w:rPr>
        <w:t>）。</w:t>
      </w:r>
    </w:p>
    <w:p w14:paraId="5D541E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3.5 总监理工程师业绩要求：自2018年1月1日以来（以合同签订时间为准），投标人拟委任总监理工程师须具备一个以总监理工程师身份承担的投资额7000万元及以上或总建筑面积3.2万平方米及以上的公共建筑或工业建筑服务业绩（须包含工程监理服务，且拟派总监理工程师在项目中担任总监理工程师身份）。</w:t>
      </w:r>
    </w:p>
    <w:p w14:paraId="127A75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3.6 投标人应该在人员、试验检测仪器设备方面具有相应的监理能力（投标人提供书面承诺）。</w:t>
      </w:r>
    </w:p>
    <w:p w14:paraId="723F2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3.7 信用要求：投标人不得存在以下不良信用记录情形之一（以“信用中国”网站（www.creditchina.gov.cn）查询为准）：</w:t>
      </w:r>
    </w:p>
    <w:p w14:paraId="1A9B03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1）被人民法院列入失信被执行人的；</w:t>
      </w:r>
    </w:p>
    <w:p w14:paraId="66D19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2）被税务部门列入重大税收违法失信主体名单的。</w:t>
      </w:r>
    </w:p>
    <w:p w14:paraId="65EFDA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3.8本次招标不接受联合体投标。</w:t>
      </w:r>
    </w:p>
    <w:p w14:paraId="699661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4.招标文件的获取</w:t>
      </w:r>
    </w:p>
    <w:p w14:paraId="0817C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 获取时间：2025年9月19日至2025年10月10日下午17:00。</w:t>
      </w:r>
    </w:p>
    <w:p w14:paraId="65B8C3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4.2 获取方式：</w:t>
      </w:r>
    </w:p>
    <w:p w14:paraId="28F6EA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0A023C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6E05B1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14:paraId="35C3DE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（4）已注册的潜在投标人/供应商若注册信息发生变更（如：与初始注册信息不一致），应及时网上提交变更申请。因未及时变更导致不利后果的，责任自负。</w:t>
      </w:r>
    </w:p>
    <w:p w14:paraId="3D2517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71CFEB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（6）电子投标文件必须使用“优质采投标文件制作工具”制作生成并上传。下载地址：http://toolcdn.youzhicai.com/tools/BidderTools.zip，使用说明书及视频教程下载地址:http://file.youzhicai.com/files/BidderHelp.rar。</w:t>
      </w:r>
    </w:p>
    <w:p w14:paraId="24081C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bCs/>
          <w:snapToGrid w:val="0"/>
          <w:kern w:val="0"/>
          <w:szCs w:val="21"/>
        </w:rPr>
      </w:pPr>
      <w:r>
        <w:rPr>
          <w:rFonts w:hint="eastAsia" w:ascii="仿宋" w:hAnsi="仿宋" w:eastAsia="仿宋" w:cs="仿宋"/>
          <w:i w:val="0"/>
          <w:iCs w:val="0"/>
          <w:caps w:val="0"/>
          <w:color w:val="000000"/>
          <w:spacing w:val="0"/>
          <w:kern w:val="0"/>
          <w:sz w:val="28"/>
          <w:szCs w:val="28"/>
          <w:lang w:val="en-US" w:eastAsia="zh-CN" w:bidi="ar"/>
        </w:rPr>
        <w:t>4.3 招标文件：400元/本，招标文件售后不退。</w:t>
      </w:r>
    </w:p>
    <w:p w14:paraId="68BB8A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5. 投标文件的递交</w:t>
      </w:r>
    </w:p>
    <w:p w14:paraId="317E9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投标文件递交的截止时间(投标截止时间，下同)为2025年10月11日10时00分，投标人应在截止时间前通过优质采云采购平台用户系统上传加密的电子投标文件。</w:t>
      </w:r>
    </w:p>
    <w:p w14:paraId="1F6E40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6. 开标时间及地点</w:t>
      </w:r>
    </w:p>
    <w:p w14:paraId="2AB4B7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6.1 开标时间：2025年10月11日10时00分。</w:t>
      </w:r>
    </w:p>
    <w:p w14:paraId="3AAA8C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6.2 投标文件递交地点（开标地点）：通过 “优质采云采购平台”（http://www.youzhicai.com/）递交。</w:t>
      </w:r>
    </w:p>
    <w:p w14:paraId="0E6A5C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6.3 投标文件解密：30分钟内，具体以电子交易平台时间为准。</w:t>
      </w:r>
    </w:p>
    <w:p w14:paraId="25C335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7. 发布公告的媒介</w:t>
      </w:r>
    </w:p>
    <w:p w14:paraId="618492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0204F2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8.联系方式</w:t>
      </w:r>
    </w:p>
    <w:p w14:paraId="655D2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8.1 招标人</w:t>
      </w:r>
    </w:p>
    <w:p w14:paraId="6162F9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招标人：蚌埠液力机械有限公司</w:t>
      </w:r>
    </w:p>
    <w:p w14:paraId="3D2901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地址：蚌埠市龙子湖区胜利东路35号 </w:t>
      </w:r>
    </w:p>
    <w:p w14:paraId="07CB1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联系人：李工、陈工</w:t>
      </w:r>
    </w:p>
    <w:p w14:paraId="1A3754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联系电话：0552-3150519</w:t>
      </w:r>
    </w:p>
    <w:p w14:paraId="47B9FC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招标代理机构名称：安徽省招标集团股份有限公司</w:t>
      </w:r>
    </w:p>
    <w:p w14:paraId="0D0B2B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地址：安徽省合肥市包河区紫云路888号</w:t>
      </w:r>
    </w:p>
    <w:p w14:paraId="6EE2B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联系人：王瑜秀、王伟</w:t>
      </w:r>
    </w:p>
    <w:p w14:paraId="218A35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联系电话：0551-66061470、66061479、19966468545</w:t>
      </w:r>
    </w:p>
    <w:p w14:paraId="49E405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应急客服电话：0551-62220153（接听时间：8:30-12:00,13:30-17:30，节假日除外。潜在投标人/响应人应优先拨打联系电话，无人接听时再拨打该“应急客服电话”）</w:t>
      </w:r>
    </w:p>
    <w:p w14:paraId="0A3611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电子邮件：zhaobiao7@ah-inter.com</w:t>
      </w:r>
    </w:p>
    <w:p w14:paraId="5C493A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9.其他事项说明</w:t>
      </w:r>
    </w:p>
    <w:p w14:paraId="3E7128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9.1 投标人应合理安排招标文件获取及缴费时间，特别是网络速度慢的地区防止在系统关闭前网络拥堵无法操作。如果因计算机及网络故障造成无法完成招标文件获取及缴费，责任自负。</w:t>
      </w:r>
    </w:p>
    <w:p w14:paraId="35D3AC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9.2 投标人通过优质采云采购平台提供的投标工具进行电子投标文件编制，在使用投标工具过程中如有技术问题，请致电网络技术服务电话：400-0099-555。</w:t>
      </w:r>
    </w:p>
    <w:p w14:paraId="5F16AB97">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90B42"/>
    <w:rsid w:val="1D625110"/>
    <w:rsid w:val="3CA9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5">
    <w:name w:val="Body Text Indent"/>
    <w:basedOn w:val="1"/>
    <w:next w:val="6"/>
    <w:qFormat/>
    <w:uiPriority w:val="0"/>
    <w:pPr>
      <w:spacing w:after="120"/>
      <w:ind w:left="420" w:leftChars="200"/>
    </w:pPr>
    <w:rPr>
      <w:szCs w:val="20"/>
    </w:rPr>
  </w:style>
  <w:style w:type="paragraph" w:styleId="6">
    <w:name w:val="envelope return"/>
    <w:basedOn w:val="1"/>
    <w:qFormat/>
    <w:uiPriority w:val="0"/>
    <w:pPr>
      <w:snapToGrid w:val="0"/>
    </w:pPr>
    <w:rPr>
      <w:rFonts w:ascii="Arial" w:hAnsi="Arial" w:cs="Arial"/>
      <w:szCs w:val="24"/>
    </w:rPr>
  </w:style>
  <w:style w:type="paragraph" w:styleId="7">
    <w:name w:val="Body Text First Indent 2"/>
    <w:basedOn w:val="5"/>
    <w:next w:val="1"/>
    <w:qFormat/>
    <w:uiPriority w:val="0"/>
    <w:pPr>
      <w:spacing w:after="0"/>
      <w:ind w:left="0" w:leftChars="0" w:firstLine="21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2544</Words>
  <Characters>3188</Characters>
  <Lines>0</Lines>
  <Paragraphs>0</Paragraphs>
  <TotalTime>0</TotalTime>
  <ScaleCrop>false</ScaleCrop>
  <LinksUpToDate>false</LinksUpToDate>
  <CharactersWithSpaces>3212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2025-09-19T02:27:00Z</dcterms:created>
  <dc:creator>初审-王瑜秀</dc:creator>
  <cp:lastModifiedBy>沈</cp:lastModifiedBy>
  <dcterms:modified xsi:type="dcterms:W3CDTF">2025-09-19T03:37:35Z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5F9ECEEB563044B7B4A7A7E8F80043EB_13</vt:lpwstr>
  </property>
  <property fmtid="{D5CDD505-2E9C-101B-9397-08002B2CF9AE}" pid="4" name="KSOTemplateDocerSaveRecord">
    <vt:lpwstr>eyJoZGlkIjoiNGYwYjY4Zjk4YzQxNTJlYWUxMzRiMDc3NjJmMzJkZmEiLCJ1c2VySWQiOiIzMTgwOTM4ODcifQ==</vt:lpwstr>
  </property>
</Properties>
</file>